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641" w:rsidRPr="00863EFB" w:rsidRDefault="00C40641" w:rsidP="00C40641">
      <w:pPr>
        <w:pStyle w:val="Heading1"/>
        <w:ind w:left="-5" w:right="-3398"/>
        <w:rPr>
          <w:rFonts w:asciiTheme="minorHAnsi" w:hAnsiTheme="minorHAnsi" w:cstheme="minorHAnsi"/>
          <w:sz w:val="22"/>
        </w:rPr>
      </w:pPr>
      <w:r w:rsidRPr="00863EFB">
        <w:rPr>
          <w:rFonts w:asciiTheme="minorHAnsi" w:hAnsiTheme="minorHAnsi" w:cstheme="minorHAnsi"/>
          <w:sz w:val="22"/>
        </w:rPr>
        <w:t xml:space="preserve">Curriculum Intent Statement </w:t>
      </w:r>
    </w:p>
    <w:p w:rsidR="00C40641" w:rsidRPr="00C40641" w:rsidRDefault="00C40641" w:rsidP="00C40641">
      <w:pPr>
        <w:rPr>
          <w:rFonts w:asciiTheme="minorHAnsi" w:hAnsiTheme="minorHAnsi" w:cstheme="minorHAnsi"/>
          <w:sz w:val="22"/>
        </w:rPr>
      </w:pPr>
      <w:r w:rsidRPr="00863EFB">
        <w:rPr>
          <w:rFonts w:asciiTheme="minorHAnsi" w:hAnsiTheme="minorHAnsi" w:cstheme="minorHAnsi"/>
          <w:sz w:val="22"/>
        </w:rPr>
        <w:t xml:space="preserve">Inspiration and excellence are at the heart of everything we do. Our main aim is to inspire confidence in our students and stimulate their interest in Mathematics, both within the curriculum and the wider world. We hope that this in turn will spark a love of learning and an improved ability to model and solve problems, applying the Mathematical knowledge gained in lessons to a variety of different circumstances. We believe that this will enable our students, irrespective of background, to flourish and leave BVGS well-equipped for whatever they choose to do in life. </w:t>
      </w:r>
    </w:p>
    <w:p w:rsidR="006E5564" w:rsidRPr="00C40641" w:rsidRDefault="006E5564">
      <w:pPr>
        <w:spacing w:after="0" w:line="259" w:lineRule="auto"/>
        <w:ind w:left="0" w:firstLine="0"/>
        <w:rPr>
          <w:rFonts w:asciiTheme="minorHAnsi" w:hAnsiTheme="minorHAnsi" w:cstheme="minorHAnsi"/>
          <w:sz w:val="22"/>
        </w:rPr>
      </w:pPr>
      <w:bookmarkStart w:id="0" w:name="_GoBack"/>
      <w:bookmarkEnd w:id="0"/>
    </w:p>
    <w:p w:rsidR="006E5564" w:rsidRPr="00C40641" w:rsidRDefault="00C40641">
      <w:pPr>
        <w:spacing w:after="0" w:line="259" w:lineRule="auto"/>
        <w:ind w:left="-5"/>
        <w:rPr>
          <w:rFonts w:asciiTheme="minorHAnsi" w:hAnsiTheme="minorHAnsi" w:cstheme="minorHAnsi"/>
          <w:sz w:val="22"/>
        </w:rPr>
      </w:pPr>
      <w:r w:rsidRPr="00C40641">
        <w:rPr>
          <w:rFonts w:asciiTheme="minorHAnsi" w:hAnsiTheme="minorHAnsi" w:cstheme="minorHAnsi"/>
          <w:b/>
          <w:sz w:val="22"/>
        </w:rPr>
        <w:t xml:space="preserve">Structure of the Course  </w:t>
      </w:r>
    </w:p>
    <w:p w:rsidR="006E5564" w:rsidRPr="00C40641" w:rsidRDefault="00C40641">
      <w:pPr>
        <w:ind w:left="-5"/>
        <w:rPr>
          <w:rFonts w:asciiTheme="minorHAnsi" w:hAnsiTheme="minorHAnsi" w:cstheme="minorHAnsi"/>
          <w:sz w:val="22"/>
        </w:rPr>
      </w:pPr>
      <w:r w:rsidRPr="00C40641">
        <w:rPr>
          <w:rFonts w:asciiTheme="minorHAnsi" w:hAnsiTheme="minorHAnsi" w:cstheme="minorHAnsi"/>
          <w:sz w:val="22"/>
        </w:rPr>
        <w:t>Pure mathematics, statistics and mechanics are taught througho</w:t>
      </w:r>
      <w:r w:rsidRPr="00C40641">
        <w:rPr>
          <w:rFonts w:asciiTheme="minorHAnsi" w:hAnsiTheme="minorHAnsi" w:cstheme="minorHAnsi"/>
          <w:sz w:val="22"/>
        </w:rPr>
        <w:t xml:space="preserve">ut the two years. </w:t>
      </w:r>
    </w:p>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b/>
          <w:sz w:val="22"/>
        </w:rPr>
        <w:t xml:space="preserve"> </w:t>
      </w:r>
    </w:p>
    <w:p w:rsidR="006E5564" w:rsidRPr="00C40641" w:rsidRDefault="00C40641">
      <w:pPr>
        <w:pStyle w:val="Heading1"/>
        <w:ind w:left="-5"/>
        <w:rPr>
          <w:rFonts w:asciiTheme="minorHAnsi" w:hAnsiTheme="minorHAnsi" w:cstheme="minorHAnsi"/>
          <w:sz w:val="22"/>
        </w:rPr>
      </w:pPr>
      <w:r w:rsidRPr="00C40641">
        <w:rPr>
          <w:rFonts w:asciiTheme="minorHAnsi" w:hAnsiTheme="minorHAnsi" w:cstheme="minorHAnsi"/>
          <w:sz w:val="22"/>
        </w:rPr>
        <w:t xml:space="preserve">Pure Mathematics content </w:t>
      </w:r>
    </w:p>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tbl>
      <w:tblPr>
        <w:tblStyle w:val="TableGrid"/>
        <w:tblW w:w="8790" w:type="dxa"/>
        <w:tblInd w:w="0" w:type="dxa"/>
        <w:tblCellMar>
          <w:top w:w="0" w:type="dxa"/>
          <w:left w:w="0" w:type="dxa"/>
          <w:bottom w:w="0" w:type="dxa"/>
          <w:right w:w="0" w:type="dxa"/>
        </w:tblCellMar>
        <w:tblLook w:val="04A0" w:firstRow="1" w:lastRow="0" w:firstColumn="1" w:lastColumn="0" w:noHBand="0" w:noVBand="1"/>
      </w:tblPr>
      <w:tblGrid>
        <w:gridCol w:w="5043"/>
        <w:gridCol w:w="3747"/>
      </w:tblGrid>
      <w:tr w:rsidR="006E5564" w:rsidRPr="00C40641">
        <w:trPr>
          <w:trHeight w:val="261"/>
        </w:trPr>
        <w:tc>
          <w:tcPr>
            <w:tcW w:w="5042" w:type="dxa"/>
            <w:tcBorders>
              <w:top w:val="nil"/>
              <w:left w:val="nil"/>
              <w:bottom w:val="nil"/>
              <w:right w:val="nil"/>
            </w:tcBorders>
          </w:tcPr>
          <w:p w:rsidR="006E5564" w:rsidRPr="00C40641" w:rsidRDefault="00C40641">
            <w:pPr>
              <w:tabs>
                <w:tab w:val="center" w:pos="2161"/>
                <w:tab w:val="center" w:pos="2882"/>
                <w:tab w:val="center" w:pos="3602"/>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1:  Proof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tc>
        <w:tc>
          <w:tcPr>
            <w:tcW w:w="3747" w:type="dxa"/>
            <w:tcBorders>
              <w:top w:val="nil"/>
              <w:left w:val="nil"/>
              <w:bottom w:val="nil"/>
              <w:right w:val="nil"/>
            </w:tcBorders>
          </w:tcPr>
          <w:p w:rsidR="006E5564" w:rsidRPr="00C40641" w:rsidRDefault="00C40641">
            <w:pPr>
              <w:spacing w:after="0" w:line="259" w:lineRule="auto"/>
              <w:ind w:left="0" w:firstLine="0"/>
              <w:jc w:val="both"/>
              <w:rPr>
                <w:rFonts w:asciiTheme="minorHAnsi" w:hAnsiTheme="minorHAnsi" w:cstheme="minorHAnsi"/>
                <w:sz w:val="22"/>
              </w:rPr>
            </w:pPr>
            <w:r w:rsidRPr="00C40641">
              <w:rPr>
                <w:rFonts w:asciiTheme="minorHAnsi" w:hAnsiTheme="minorHAnsi" w:cstheme="minorHAnsi"/>
                <w:sz w:val="22"/>
              </w:rPr>
              <w:t xml:space="preserve">Topic 6:  Exponentials &amp; Logarithms </w:t>
            </w:r>
          </w:p>
        </w:tc>
      </w:tr>
      <w:tr w:rsidR="006E5564" w:rsidRPr="00C40641">
        <w:trPr>
          <w:trHeight w:val="264"/>
        </w:trPr>
        <w:tc>
          <w:tcPr>
            <w:tcW w:w="5042" w:type="dxa"/>
            <w:tcBorders>
              <w:top w:val="nil"/>
              <w:left w:val="nil"/>
              <w:bottom w:val="nil"/>
              <w:right w:val="nil"/>
            </w:tcBorders>
          </w:tcPr>
          <w:p w:rsidR="006E5564" w:rsidRPr="00C40641" w:rsidRDefault="00C40641">
            <w:pPr>
              <w:tabs>
                <w:tab w:val="center" w:pos="3602"/>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2:  Algebra &amp; Functions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tc>
        <w:tc>
          <w:tcPr>
            <w:tcW w:w="3747"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7:  Differentiation </w:t>
            </w:r>
          </w:p>
        </w:tc>
      </w:tr>
      <w:tr w:rsidR="006E5564" w:rsidRPr="00C40641">
        <w:trPr>
          <w:trHeight w:val="264"/>
        </w:trPr>
        <w:tc>
          <w:tcPr>
            <w:tcW w:w="5042"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3:  Coordinate Geometry in the </w:t>
            </w:r>
            <w:proofErr w:type="spellStart"/>
            <w:r w:rsidRPr="00C40641">
              <w:rPr>
                <w:rFonts w:asciiTheme="minorHAnsi" w:hAnsiTheme="minorHAnsi" w:cstheme="minorHAnsi"/>
                <w:sz w:val="22"/>
              </w:rPr>
              <w:t>x,y</w:t>
            </w:r>
            <w:proofErr w:type="spellEnd"/>
            <w:r w:rsidRPr="00C40641">
              <w:rPr>
                <w:rFonts w:asciiTheme="minorHAnsi" w:hAnsiTheme="minorHAnsi" w:cstheme="minorHAnsi"/>
                <w:sz w:val="22"/>
              </w:rPr>
              <w:t xml:space="preserve"> plane </w:t>
            </w:r>
          </w:p>
        </w:tc>
        <w:tc>
          <w:tcPr>
            <w:tcW w:w="3747"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Topic 8:  Integration</w:t>
            </w:r>
            <w:r w:rsidRPr="00C40641">
              <w:rPr>
                <w:rFonts w:asciiTheme="minorHAnsi" w:hAnsiTheme="minorHAnsi" w:cstheme="minorHAnsi"/>
                <w:sz w:val="22"/>
              </w:rPr>
              <w:t xml:space="preserve"> </w:t>
            </w:r>
          </w:p>
        </w:tc>
      </w:tr>
      <w:tr w:rsidR="006E5564" w:rsidRPr="00C40641">
        <w:trPr>
          <w:trHeight w:val="264"/>
        </w:trPr>
        <w:tc>
          <w:tcPr>
            <w:tcW w:w="5042" w:type="dxa"/>
            <w:tcBorders>
              <w:top w:val="nil"/>
              <w:left w:val="nil"/>
              <w:bottom w:val="nil"/>
              <w:right w:val="nil"/>
            </w:tcBorders>
          </w:tcPr>
          <w:p w:rsidR="006E5564" w:rsidRPr="00C40641" w:rsidRDefault="00C40641">
            <w:pPr>
              <w:tabs>
                <w:tab w:val="center" w:pos="3602"/>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4:  Sequences &amp; Series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tc>
        <w:tc>
          <w:tcPr>
            <w:tcW w:w="3747"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9:  Numerical Methods </w:t>
            </w:r>
          </w:p>
        </w:tc>
      </w:tr>
      <w:tr w:rsidR="006E5564" w:rsidRPr="00C40641">
        <w:trPr>
          <w:trHeight w:val="1061"/>
        </w:trPr>
        <w:tc>
          <w:tcPr>
            <w:tcW w:w="5042" w:type="dxa"/>
            <w:tcBorders>
              <w:top w:val="nil"/>
              <w:left w:val="nil"/>
              <w:bottom w:val="nil"/>
              <w:right w:val="nil"/>
            </w:tcBorders>
          </w:tcPr>
          <w:p w:rsidR="006E5564" w:rsidRPr="00C40641" w:rsidRDefault="00C40641">
            <w:pPr>
              <w:tabs>
                <w:tab w:val="center" w:pos="2882"/>
                <w:tab w:val="center" w:pos="3602"/>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5:  Trigonometry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 </w:t>
            </w:r>
          </w:p>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b/>
                <w:sz w:val="22"/>
              </w:rPr>
              <w:t xml:space="preserve">Statistics &amp; Mechanics </w:t>
            </w:r>
          </w:p>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 </w:t>
            </w:r>
          </w:p>
        </w:tc>
        <w:tc>
          <w:tcPr>
            <w:tcW w:w="3747"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10: Vectors </w:t>
            </w:r>
          </w:p>
        </w:tc>
      </w:tr>
      <w:tr w:rsidR="006E5564" w:rsidRPr="00C40641">
        <w:trPr>
          <w:trHeight w:val="264"/>
        </w:trPr>
        <w:tc>
          <w:tcPr>
            <w:tcW w:w="5042" w:type="dxa"/>
            <w:tcBorders>
              <w:top w:val="nil"/>
              <w:left w:val="nil"/>
              <w:bottom w:val="nil"/>
              <w:right w:val="nil"/>
            </w:tcBorders>
          </w:tcPr>
          <w:p w:rsidR="006E5564" w:rsidRPr="00C40641" w:rsidRDefault="00C40641">
            <w:pPr>
              <w:tabs>
                <w:tab w:val="center" w:pos="1441"/>
                <w:tab w:val="center" w:pos="2161"/>
                <w:tab w:val="center" w:pos="2882"/>
                <w:tab w:val="center" w:pos="3602"/>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Statistics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tc>
        <w:tc>
          <w:tcPr>
            <w:tcW w:w="3747"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Mechanics </w:t>
            </w:r>
          </w:p>
        </w:tc>
      </w:tr>
      <w:tr w:rsidR="006E5564" w:rsidRPr="00C40641">
        <w:trPr>
          <w:trHeight w:val="264"/>
        </w:trPr>
        <w:tc>
          <w:tcPr>
            <w:tcW w:w="5042" w:type="dxa"/>
            <w:tcBorders>
              <w:top w:val="nil"/>
              <w:left w:val="nil"/>
              <w:bottom w:val="nil"/>
              <w:right w:val="nil"/>
            </w:tcBorders>
          </w:tcPr>
          <w:p w:rsidR="006E5564" w:rsidRPr="00C40641" w:rsidRDefault="00C40641">
            <w:pPr>
              <w:tabs>
                <w:tab w:val="center" w:pos="3602"/>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1:  Statistical Sampling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tc>
        <w:tc>
          <w:tcPr>
            <w:tcW w:w="3747"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6:  Quantities &amp; Units in  </w:t>
            </w:r>
          </w:p>
        </w:tc>
      </w:tr>
      <w:tr w:rsidR="006E5564" w:rsidRPr="00C40641">
        <w:trPr>
          <w:trHeight w:val="264"/>
        </w:trPr>
        <w:tc>
          <w:tcPr>
            <w:tcW w:w="5042"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2:  Data Presentation &amp; Interpretation </w:t>
            </w:r>
          </w:p>
        </w:tc>
        <w:tc>
          <w:tcPr>
            <w:tcW w:w="3747" w:type="dxa"/>
            <w:tcBorders>
              <w:top w:val="nil"/>
              <w:left w:val="nil"/>
              <w:bottom w:val="nil"/>
              <w:right w:val="nil"/>
            </w:tcBorders>
          </w:tcPr>
          <w:p w:rsidR="006E5564" w:rsidRPr="00C40641" w:rsidRDefault="00C40641">
            <w:pPr>
              <w:tabs>
                <w:tab w:val="center" w:pos="1396"/>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 </w:t>
            </w:r>
            <w:r w:rsidRPr="00C40641">
              <w:rPr>
                <w:rFonts w:asciiTheme="minorHAnsi" w:hAnsiTheme="minorHAnsi" w:cstheme="minorHAnsi"/>
                <w:sz w:val="22"/>
              </w:rPr>
              <w:tab/>
              <w:t xml:space="preserve">    Mechanics </w:t>
            </w:r>
          </w:p>
        </w:tc>
      </w:tr>
      <w:tr w:rsidR="006E5564" w:rsidRPr="00C40641">
        <w:trPr>
          <w:trHeight w:val="264"/>
        </w:trPr>
        <w:tc>
          <w:tcPr>
            <w:tcW w:w="5042" w:type="dxa"/>
            <w:tcBorders>
              <w:top w:val="nil"/>
              <w:left w:val="nil"/>
              <w:bottom w:val="nil"/>
              <w:right w:val="nil"/>
            </w:tcBorders>
          </w:tcPr>
          <w:p w:rsidR="006E5564" w:rsidRPr="00C40641" w:rsidRDefault="00C40641">
            <w:pPr>
              <w:tabs>
                <w:tab w:val="center" w:pos="2882"/>
                <w:tab w:val="center" w:pos="3602"/>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3:  Probability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tc>
        <w:tc>
          <w:tcPr>
            <w:tcW w:w="3747"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7:  Kinematics </w:t>
            </w:r>
          </w:p>
        </w:tc>
      </w:tr>
      <w:tr w:rsidR="006E5564" w:rsidRPr="00C40641">
        <w:trPr>
          <w:trHeight w:val="264"/>
        </w:trPr>
        <w:tc>
          <w:tcPr>
            <w:tcW w:w="5042" w:type="dxa"/>
            <w:tcBorders>
              <w:top w:val="nil"/>
              <w:left w:val="nil"/>
              <w:bottom w:val="nil"/>
              <w:right w:val="nil"/>
            </w:tcBorders>
          </w:tcPr>
          <w:p w:rsidR="006E5564" w:rsidRPr="00C40641" w:rsidRDefault="00C40641">
            <w:pPr>
              <w:tabs>
                <w:tab w:val="center" w:pos="3602"/>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4:  Statistical Distributions </w:t>
            </w:r>
            <w:r w:rsidRPr="00C40641">
              <w:rPr>
                <w:rFonts w:asciiTheme="minorHAnsi" w:hAnsiTheme="minorHAnsi" w:cstheme="minorHAnsi"/>
                <w:sz w:val="22"/>
              </w:rPr>
              <w:tab/>
              <w:t xml:space="preserve"> </w:t>
            </w:r>
            <w:r w:rsidRPr="00C40641">
              <w:rPr>
                <w:rFonts w:asciiTheme="minorHAnsi" w:hAnsiTheme="minorHAnsi" w:cstheme="minorHAnsi"/>
                <w:sz w:val="22"/>
              </w:rPr>
              <w:tab/>
              <w:t xml:space="preserve"> </w:t>
            </w:r>
          </w:p>
        </w:tc>
        <w:tc>
          <w:tcPr>
            <w:tcW w:w="3747" w:type="dxa"/>
            <w:tcBorders>
              <w:top w:val="nil"/>
              <w:left w:val="nil"/>
              <w:bottom w:val="nil"/>
              <w:right w:val="nil"/>
            </w:tcBorders>
          </w:tcPr>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8:  Forces &amp; Newton’s Laws </w:t>
            </w:r>
          </w:p>
        </w:tc>
      </w:tr>
      <w:tr w:rsidR="006E5564" w:rsidRPr="00C40641">
        <w:trPr>
          <w:trHeight w:val="260"/>
        </w:trPr>
        <w:tc>
          <w:tcPr>
            <w:tcW w:w="5042" w:type="dxa"/>
            <w:tcBorders>
              <w:top w:val="nil"/>
              <w:left w:val="nil"/>
              <w:bottom w:val="nil"/>
              <w:right w:val="nil"/>
            </w:tcBorders>
          </w:tcPr>
          <w:p w:rsidR="006E5564" w:rsidRPr="00C40641" w:rsidRDefault="00C40641">
            <w:pPr>
              <w:tabs>
                <w:tab w:val="center" w:pos="4322"/>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Topic 5:  Statistical Hypothesis Testing </w:t>
            </w:r>
            <w:r w:rsidRPr="00C40641">
              <w:rPr>
                <w:rFonts w:asciiTheme="minorHAnsi" w:hAnsiTheme="minorHAnsi" w:cstheme="minorHAnsi"/>
                <w:sz w:val="22"/>
              </w:rPr>
              <w:tab/>
              <w:t xml:space="preserve"> </w:t>
            </w:r>
          </w:p>
        </w:tc>
        <w:tc>
          <w:tcPr>
            <w:tcW w:w="3747" w:type="dxa"/>
            <w:tcBorders>
              <w:top w:val="nil"/>
              <w:left w:val="nil"/>
              <w:bottom w:val="nil"/>
              <w:right w:val="nil"/>
            </w:tcBorders>
          </w:tcPr>
          <w:p w:rsidR="006E5564" w:rsidRPr="00C40641" w:rsidRDefault="00C40641">
            <w:pPr>
              <w:tabs>
                <w:tab w:val="center" w:pos="2161"/>
              </w:tabs>
              <w:spacing w:after="0" w:line="259" w:lineRule="auto"/>
              <w:ind w:left="0" w:firstLine="0"/>
              <w:rPr>
                <w:rFonts w:asciiTheme="minorHAnsi" w:hAnsiTheme="minorHAnsi" w:cstheme="minorHAnsi"/>
                <w:sz w:val="22"/>
              </w:rPr>
            </w:pPr>
            <w:r w:rsidRPr="00C40641">
              <w:rPr>
                <w:rFonts w:asciiTheme="minorHAnsi" w:hAnsiTheme="minorHAnsi" w:cstheme="minorHAnsi"/>
                <w:sz w:val="22"/>
              </w:rPr>
              <w:t>Topic 9:  Moments</w:t>
            </w:r>
            <w:r w:rsidRPr="00C40641">
              <w:rPr>
                <w:rFonts w:asciiTheme="minorHAnsi" w:hAnsiTheme="minorHAnsi" w:cstheme="minorHAnsi"/>
                <w:sz w:val="22"/>
              </w:rPr>
              <w:t xml:space="preserve"> </w:t>
            </w:r>
            <w:r w:rsidRPr="00C40641">
              <w:rPr>
                <w:rFonts w:asciiTheme="minorHAnsi" w:hAnsiTheme="minorHAnsi" w:cstheme="minorHAnsi"/>
                <w:sz w:val="22"/>
              </w:rPr>
              <w:tab/>
              <w:t xml:space="preserve"> </w:t>
            </w:r>
          </w:p>
        </w:tc>
      </w:tr>
    </w:tbl>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 </w:t>
      </w:r>
    </w:p>
    <w:p w:rsidR="006E5564" w:rsidRPr="00C40641" w:rsidRDefault="00C40641">
      <w:pPr>
        <w:pStyle w:val="Heading1"/>
        <w:ind w:left="-5"/>
        <w:rPr>
          <w:rFonts w:asciiTheme="minorHAnsi" w:hAnsiTheme="minorHAnsi" w:cstheme="minorHAnsi"/>
          <w:sz w:val="22"/>
        </w:rPr>
      </w:pPr>
      <w:r w:rsidRPr="00C40641">
        <w:rPr>
          <w:rFonts w:asciiTheme="minorHAnsi" w:hAnsiTheme="minorHAnsi" w:cstheme="minorHAnsi"/>
          <w:sz w:val="22"/>
        </w:rPr>
        <w:t xml:space="preserve">Structure of the Examination </w:t>
      </w:r>
    </w:p>
    <w:p w:rsidR="006E5564" w:rsidRPr="00C40641" w:rsidRDefault="00C40641">
      <w:pPr>
        <w:ind w:left="0" w:hanging="720"/>
        <w:rPr>
          <w:rFonts w:asciiTheme="minorHAnsi" w:hAnsiTheme="minorHAnsi" w:cstheme="minorHAnsi"/>
          <w:sz w:val="22"/>
        </w:rPr>
      </w:pPr>
      <w:r w:rsidRPr="00C40641">
        <w:rPr>
          <w:rFonts w:asciiTheme="minorHAnsi" w:hAnsiTheme="minorHAnsi" w:cstheme="minorHAnsi"/>
          <w:sz w:val="22"/>
        </w:rPr>
        <w:t xml:space="preserve"> </w:t>
      </w:r>
      <w:r w:rsidRPr="00C40641">
        <w:rPr>
          <w:rFonts w:asciiTheme="minorHAnsi" w:hAnsiTheme="minorHAnsi" w:cstheme="minorHAnsi"/>
          <w:sz w:val="22"/>
        </w:rPr>
        <w:tab/>
        <w:t xml:space="preserve">There are three papers each is 2 hours in length. Papers 1 and 2 cover the pure mathematics content. Paper 3 is split into two equal sections; section </w:t>
      </w:r>
      <w:proofErr w:type="gramStart"/>
      <w:r w:rsidRPr="00C40641">
        <w:rPr>
          <w:rFonts w:asciiTheme="minorHAnsi" w:hAnsiTheme="minorHAnsi" w:cstheme="minorHAnsi"/>
          <w:sz w:val="22"/>
        </w:rPr>
        <w:t>A</w:t>
      </w:r>
      <w:proofErr w:type="gramEnd"/>
      <w:r w:rsidRPr="00C40641">
        <w:rPr>
          <w:rFonts w:asciiTheme="minorHAnsi" w:hAnsiTheme="minorHAnsi" w:cstheme="minorHAnsi"/>
          <w:sz w:val="22"/>
        </w:rPr>
        <w:t xml:space="preserve"> covers statistics, section B is on mechanics. Calculators are al</w:t>
      </w:r>
      <w:r w:rsidRPr="00C40641">
        <w:rPr>
          <w:rFonts w:asciiTheme="minorHAnsi" w:hAnsiTheme="minorHAnsi" w:cstheme="minorHAnsi"/>
          <w:sz w:val="22"/>
        </w:rPr>
        <w:t>lowed in all of the papers. Each papers counts as one third of the overall qualification. There are three assessment objectives, which are AO1 – using and applying standard techniques (50%); AO2 – reason, interpret and communicate mathematically (25%); AO3</w:t>
      </w:r>
      <w:r w:rsidRPr="00C40641">
        <w:rPr>
          <w:rFonts w:asciiTheme="minorHAnsi" w:hAnsiTheme="minorHAnsi" w:cstheme="minorHAnsi"/>
          <w:sz w:val="22"/>
        </w:rPr>
        <w:t xml:space="preserve"> – solve problems within mathematics and in other contexts (25%). </w:t>
      </w:r>
    </w:p>
    <w:p w:rsidR="006E5564" w:rsidRPr="00C40641" w:rsidRDefault="00C40641">
      <w:pPr>
        <w:spacing w:after="0" w:line="259" w:lineRule="auto"/>
        <w:ind w:left="0" w:firstLine="0"/>
        <w:rPr>
          <w:rFonts w:asciiTheme="minorHAnsi" w:hAnsiTheme="minorHAnsi" w:cstheme="minorHAnsi"/>
          <w:sz w:val="22"/>
        </w:rPr>
      </w:pPr>
      <w:r w:rsidRPr="00C40641">
        <w:rPr>
          <w:rFonts w:asciiTheme="minorHAnsi" w:hAnsiTheme="minorHAnsi" w:cstheme="minorHAnsi"/>
          <w:sz w:val="22"/>
        </w:rPr>
        <w:t xml:space="preserve"> </w:t>
      </w:r>
    </w:p>
    <w:p w:rsidR="006E5564" w:rsidRPr="00C40641" w:rsidRDefault="00C40641">
      <w:pPr>
        <w:pStyle w:val="Heading1"/>
        <w:ind w:left="-5"/>
        <w:rPr>
          <w:rFonts w:asciiTheme="minorHAnsi" w:hAnsiTheme="minorHAnsi" w:cstheme="minorHAnsi"/>
          <w:sz w:val="22"/>
        </w:rPr>
      </w:pPr>
      <w:r w:rsidRPr="00C40641">
        <w:rPr>
          <w:rFonts w:asciiTheme="minorHAnsi" w:hAnsiTheme="minorHAnsi" w:cstheme="minorHAnsi"/>
          <w:sz w:val="22"/>
        </w:rPr>
        <w:t xml:space="preserve">Teaching and Learning </w:t>
      </w:r>
    </w:p>
    <w:p w:rsidR="006E5564" w:rsidRPr="00C40641" w:rsidRDefault="00C40641">
      <w:pPr>
        <w:ind w:left="-5"/>
        <w:rPr>
          <w:rFonts w:asciiTheme="minorHAnsi" w:hAnsiTheme="minorHAnsi" w:cstheme="minorHAnsi"/>
          <w:sz w:val="22"/>
        </w:rPr>
      </w:pPr>
      <w:r w:rsidRPr="00C40641">
        <w:rPr>
          <w:rFonts w:asciiTheme="minorHAnsi" w:hAnsiTheme="minorHAnsi" w:cstheme="minorHAnsi"/>
          <w:sz w:val="22"/>
        </w:rPr>
        <w:t xml:space="preserve">In Mathematics, pupils are encouraged to ask questions and attempt various mathematical approaches to a variety of different problems in a safe and inspirational environment where there is no fear of failure. During lessons, pupils have the opportunity to </w:t>
      </w:r>
      <w:r w:rsidRPr="00C40641">
        <w:rPr>
          <w:rFonts w:asciiTheme="minorHAnsi" w:hAnsiTheme="minorHAnsi" w:cstheme="minorHAnsi"/>
          <w:sz w:val="22"/>
        </w:rPr>
        <w:t xml:space="preserve">work both independently and together in pairs or groups. Outside of lessons, pupils are encouraged to develop as independent learners by regularly revising and practising extra questions in addition to completing the set homework tasks. </w:t>
      </w:r>
    </w:p>
    <w:sectPr w:rsidR="006E5564" w:rsidRPr="00C40641">
      <w:pgSz w:w="11904" w:h="16838"/>
      <w:pgMar w:top="1440" w:right="1308" w:bottom="1440" w:left="13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64"/>
    <w:rsid w:val="006E5564"/>
    <w:rsid w:val="00C406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211E"/>
  <w15:docId w15:val="{D4BE27B5-D9E7-4E72-A471-D094ACAD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Bishop Vesey's Grammar School</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Green</dc:creator>
  <cp:keywords/>
  <cp:lastModifiedBy>N Harris</cp:lastModifiedBy>
  <cp:revision>2</cp:revision>
  <cp:lastPrinted>2021-12-10T15:07:00Z</cp:lastPrinted>
  <dcterms:created xsi:type="dcterms:W3CDTF">2021-12-10T15:09:00Z</dcterms:created>
  <dcterms:modified xsi:type="dcterms:W3CDTF">2021-12-10T15:09:00Z</dcterms:modified>
</cp:coreProperties>
</file>